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0F28" w14:textId="72AA7EAE" w:rsidR="00A30516" w:rsidRPr="00393149" w:rsidRDefault="00393149" w:rsidP="00393149">
      <w:pPr>
        <w:jc w:val="center"/>
        <w:rPr>
          <w:b/>
          <w:bCs/>
          <w:sz w:val="24"/>
          <w:szCs w:val="24"/>
          <w:u w:val="single"/>
        </w:rPr>
      </w:pPr>
      <w:r w:rsidRPr="004B0D48">
        <w:rPr>
          <w:b/>
          <w:bCs/>
          <w:sz w:val="24"/>
          <w:szCs w:val="24"/>
          <w:highlight w:val="lightGray"/>
          <w:u w:val="single"/>
        </w:rPr>
        <w:t>What Should I Include in My Pharma/Industry Sponsored Budget?</w:t>
      </w:r>
    </w:p>
    <w:p w14:paraId="11CACA0E" w14:textId="758E806E" w:rsidR="00393149" w:rsidRDefault="00393149" w:rsidP="00393149">
      <w:pPr>
        <w:pStyle w:val="ListParagraph"/>
        <w:numPr>
          <w:ilvl w:val="0"/>
          <w:numId w:val="3"/>
        </w:numPr>
      </w:pPr>
      <w:r>
        <w:t>IRB Fees - Should budget for the following</w:t>
      </w:r>
      <w:r w:rsidR="00EE3F26">
        <w:t xml:space="preserve"> (including those using an outside IRB)</w:t>
      </w:r>
      <w:r>
        <w:t>:</w:t>
      </w:r>
    </w:p>
    <w:p w14:paraId="688884B1" w14:textId="265F2B0E" w:rsidR="00393149" w:rsidRDefault="00393149" w:rsidP="00393149">
      <w:pPr>
        <w:pStyle w:val="ListParagraph"/>
        <w:numPr>
          <w:ilvl w:val="1"/>
          <w:numId w:val="3"/>
        </w:numPr>
        <w:spacing w:after="0"/>
      </w:pPr>
      <w:r>
        <w:t>New Study Review: $2,500</w:t>
      </w:r>
    </w:p>
    <w:p w14:paraId="67675375" w14:textId="37C67D7E" w:rsidR="00393149" w:rsidRDefault="00393149" w:rsidP="00393149">
      <w:pPr>
        <w:pStyle w:val="ListParagraph"/>
        <w:numPr>
          <w:ilvl w:val="1"/>
          <w:numId w:val="3"/>
        </w:numPr>
        <w:spacing w:after="0"/>
      </w:pPr>
      <w:r>
        <w:t>Continuing Review: $1,000</w:t>
      </w:r>
    </w:p>
    <w:p w14:paraId="7655D24A" w14:textId="1F0AB255" w:rsidR="00393149" w:rsidRDefault="00393149" w:rsidP="00393149">
      <w:pPr>
        <w:pStyle w:val="ListParagraph"/>
        <w:numPr>
          <w:ilvl w:val="1"/>
          <w:numId w:val="3"/>
        </w:numPr>
        <w:spacing w:after="0"/>
      </w:pPr>
      <w:r>
        <w:t>Modification: $500</w:t>
      </w:r>
    </w:p>
    <w:p w14:paraId="5ECB6851" w14:textId="59E1D550" w:rsidR="00393149" w:rsidRDefault="00393149" w:rsidP="00393149">
      <w:pPr>
        <w:pStyle w:val="ListParagraph"/>
        <w:numPr>
          <w:ilvl w:val="1"/>
          <w:numId w:val="3"/>
        </w:numPr>
        <w:spacing w:after="0"/>
      </w:pPr>
      <w:r>
        <w:t xml:space="preserve">Please refer to: </w:t>
      </w:r>
      <w:hyperlink r:id="rId5" w:history="1">
        <w:r w:rsidRPr="00E16F1E">
          <w:rPr>
            <w:rStyle w:val="Hyperlink"/>
          </w:rPr>
          <w:t>https://hsc.unm.edu/research/compliance/hrpo/investigators.html</w:t>
        </w:r>
      </w:hyperlink>
      <w:r>
        <w:t xml:space="preserve"> for additional information on how these fees are invoiced from IRB.</w:t>
      </w:r>
    </w:p>
    <w:p w14:paraId="542BCDCA" w14:textId="57606FED" w:rsidR="00393149" w:rsidRPr="00393149" w:rsidRDefault="00393149" w:rsidP="00393149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</w:pPr>
      <w:r w:rsidRPr="00393149">
        <w:t xml:space="preserve">Non-refundable start up fees (4-5k at least): for time spent by PI and clinical staff on IRB review paperwork, other regulatory document completion, trips to investigator meeting, protocol review time, </w:t>
      </w:r>
      <w:r w:rsidR="004B0D48" w:rsidRPr="00393149">
        <w:t>etc.</w:t>
      </w:r>
      <w:r w:rsidRPr="00393149">
        <w:t xml:space="preserve"> (paid regardless of whether or not the contract/study goes forward). If sponsor won’t accept, try adding in coordinator/PI time for investigator meetings.</w:t>
      </w:r>
    </w:p>
    <w:p w14:paraId="2F82A20A" w14:textId="77777777" w:rsidR="00393149" w:rsidRPr="00393149" w:rsidRDefault="00393149" w:rsidP="00393149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</w:pPr>
      <w:r w:rsidRPr="00393149">
        <w:t>Payment upon execution of the contract – if you can negotiate it, for other start up type costs</w:t>
      </w:r>
    </w:p>
    <w:p w14:paraId="418F2370" w14:textId="77777777" w:rsidR="00393149" w:rsidRPr="00393149" w:rsidRDefault="00393149" w:rsidP="00393149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</w:pPr>
      <w:r w:rsidRPr="00393149">
        <w:t>Payment upon completion of study – do not tie this to a site visit, only to submission of all case report forms or data or termination of the study</w:t>
      </w:r>
    </w:p>
    <w:p w14:paraId="2B4F564E" w14:textId="77777777" w:rsidR="00393149" w:rsidRPr="00393149" w:rsidRDefault="00393149" w:rsidP="00393149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</w:pPr>
      <w:r w:rsidRPr="00393149">
        <w:t>Per patient costs (tests, supplies, labor, 1% PI effort) (this will translate into the per patient reimbursement or the reimbursement for completed case report forms as determined by the sponsor - </w:t>
      </w:r>
      <w:hyperlink r:id="rId6" w:tgtFrame="_blank" w:tooltip="University Hospital Patient Care Rates" w:history="1">
        <w:r w:rsidRPr="00393149">
          <w:t>see UH charges memo</w:t>
        </w:r>
      </w:hyperlink>
      <w:r w:rsidRPr="00393149">
        <w:t>)</w:t>
      </w:r>
    </w:p>
    <w:p w14:paraId="1DAEC747" w14:textId="77777777" w:rsidR="00393149" w:rsidRPr="00393149" w:rsidRDefault="00393149" w:rsidP="00393149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</w:pPr>
      <w:r w:rsidRPr="00393149">
        <w:t>Payment for departments doing testing (e.g. Pathology, Radiology) – both the hospital fee and the professional fee</w:t>
      </w:r>
    </w:p>
    <w:p w14:paraId="551FB992" w14:textId="77777777" w:rsidR="00393149" w:rsidRPr="00393149" w:rsidRDefault="00393149" w:rsidP="00393149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</w:pPr>
      <w:r w:rsidRPr="00393149">
        <w:t>Screen failures payments</w:t>
      </w:r>
    </w:p>
    <w:p w14:paraId="3D1EFA85" w14:textId="77777777" w:rsidR="00393149" w:rsidRPr="00393149" w:rsidRDefault="00393149" w:rsidP="00393149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</w:pPr>
      <w:r w:rsidRPr="00393149">
        <w:t>Unscheduled visit payments</w:t>
      </w:r>
    </w:p>
    <w:p w14:paraId="687D8A0B" w14:textId="2884C9F4" w:rsidR="00393149" w:rsidRPr="00393149" w:rsidRDefault="00421539" w:rsidP="00393149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</w:pPr>
      <w:r>
        <w:t>25</w:t>
      </w:r>
      <w:r w:rsidR="00393149" w:rsidRPr="00393149">
        <w:t>% F&amp;A on total costs</w:t>
      </w:r>
    </w:p>
    <w:p w14:paraId="3325BE02" w14:textId="77777777" w:rsidR="00393149" w:rsidRPr="00393149" w:rsidRDefault="00393149" w:rsidP="00393149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</w:pPr>
      <w:r w:rsidRPr="00393149">
        <w:t>Document storage fees</w:t>
      </w:r>
    </w:p>
    <w:p w14:paraId="49F72FCA" w14:textId="77777777" w:rsidR="00393149" w:rsidRPr="00393149" w:rsidRDefault="00393149" w:rsidP="00393149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</w:pPr>
      <w:r w:rsidRPr="00393149">
        <w:t xml:space="preserve">Pharmacy fees (include a </w:t>
      </w:r>
      <w:proofErr w:type="spellStart"/>
      <w:r w:rsidRPr="00393149">
        <w:t>start up</w:t>
      </w:r>
      <w:proofErr w:type="spellEnd"/>
      <w:r w:rsidRPr="00393149">
        <w:t xml:space="preserve"> fee and then a fee/prescription)</w:t>
      </w:r>
    </w:p>
    <w:p w14:paraId="2AF122CA" w14:textId="77777777" w:rsidR="00393149" w:rsidRPr="00393149" w:rsidRDefault="00393149" w:rsidP="00393149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</w:pPr>
      <w:r w:rsidRPr="00393149">
        <w:t>Postage if needing to send things regularly to sponsor</w:t>
      </w:r>
    </w:p>
    <w:p w14:paraId="7FD06104" w14:textId="77777777" w:rsidR="00393149" w:rsidRPr="00393149" w:rsidRDefault="00393149" w:rsidP="00393149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</w:pPr>
      <w:r w:rsidRPr="00393149">
        <w:t>Publication preparation costs</w:t>
      </w:r>
    </w:p>
    <w:p w14:paraId="7826DB26" w14:textId="77777777" w:rsidR="00393149" w:rsidRPr="00393149" w:rsidRDefault="00393149" w:rsidP="00393149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</w:pPr>
      <w:r w:rsidRPr="00393149">
        <w:t>Investigator meeting time – for investigator and support staff ($750/per person, per meeting)</w:t>
      </w:r>
    </w:p>
    <w:p w14:paraId="05B23506" w14:textId="77777777" w:rsidR="00393149" w:rsidRPr="00393149" w:rsidRDefault="00393149" w:rsidP="00393149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</w:pPr>
      <w:r w:rsidRPr="00393149">
        <w:t xml:space="preserve">Regulatory/administration time (adverse event reporting, </w:t>
      </w:r>
      <w:proofErr w:type="spellStart"/>
      <w:r w:rsidRPr="00393149">
        <w:t>etc</w:t>
      </w:r>
      <w:proofErr w:type="spellEnd"/>
      <w:r w:rsidRPr="00393149">
        <w:t>) ($750 per 6 months)</w:t>
      </w:r>
    </w:p>
    <w:p w14:paraId="20A8D02B" w14:textId="77777777" w:rsidR="00393149" w:rsidRPr="00393149" w:rsidRDefault="00393149" w:rsidP="00393149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</w:pPr>
      <w:r w:rsidRPr="00393149">
        <w:t>Remember: most time spent on studies is maintaining regulatory documents including review &amp; submission of adverse events to HRPO – this adds up in a long term (1 year or more) clinical trial</w:t>
      </w:r>
    </w:p>
    <w:p w14:paraId="49993D92" w14:textId="77777777" w:rsidR="004B0D48" w:rsidRDefault="004B0D48" w:rsidP="004B0D48">
      <w:pPr>
        <w:jc w:val="center"/>
        <w:rPr>
          <w:b/>
          <w:bCs/>
          <w:sz w:val="24"/>
          <w:szCs w:val="24"/>
          <w:highlight w:val="lightGray"/>
          <w:u w:val="single"/>
        </w:rPr>
      </w:pPr>
    </w:p>
    <w:p w14:paraId="0E9C4B13" w14:textId="77777777" w:rsidR="004B0D48" w:rsidRDefault="004B0D48" w:rsidP="004B0D48">
      <w:pPr>
        <w:jc w:val="center"/>
        <w:rPr>
          <w:b/>
          <w:bCs/>
          <w:sz w:val="24"/>
          <w:szCs w:val="24"/>
          <w:highlight w:val="lightGray"/>
          <w:u w:val="single"/>
        </w:rPr>
      </w:pPr>
    </w:p>
    <w:p w14:paraId="11232874" w14:textId="77777777" w:rsidR="004B0D48" w:rsidRDefault="004B0D48" w:rsidP="004B0D48">
      <w:pPr>
        <w:jc w:val="center"/>
        <w:rPr>
          <w:b/>
          <w:bCs/>
          <w:sz w:val="24"/>
          <w:szCs w:val="24"/>
          <w:highlight w:val="lightGray"/>
          <w:u w:val="single"/>
        </w:rPr>
      </w:pPr>
    </w:p>
    <w:p w14:paraId="301E47DF" w14:textId="77777777" w:rsidR="004B0D48" w:rsidRDefault="004B0D48" w:rsidP="004B0D48">
      <w:pPr>
        <w:jc w:val="center"/>
        <w:rPr>
          <w:b/>
          <w:bCs/>
          <w:sz w:val="24"/>
          <w:szCs w:val="24"/>
          <w:highlight w:val="lightGray"/>
          <w:u w:val="single"/>
        </w:rPr>
      </w:pPr>
    </w:p>
    <w:p w14:paraId="4FDFFBFB" w14:textId="77777777" w:rsidR="004B0D48" w:rsidRDefault="004B0D48" w:rsidP="004B0D48">
      <w:pPr>
        <w:jc w:val="center"/>
        <w:rPr>
          <w:b/>
          <w:bCs/>
          <w:sz w:val="24"/>
          <w:szCs w:val="24"/>
          <w:highlight w:val="lightGray"/>
          <w:u w:val="single"/>
        </w:rPr>
      </w:pPr>
    </w:p>
    <w:p w14:paraId="0746C2D0" w14:textId="02B40993" w:rsidR="00393149" w:rsidRPr="004B0D48" w:rsidRDefault="00393149" w:rsidP="004B0D48">
      <w:pPr>
        <w:rPr>
          <w:b/>
          <w:bCs/>
          <w:sz w:val="24"/>
          <w:szCs w:val="24"/>
          <w:highlight w:val="lightGray"/>
          <w:u w:val="single"/>
        </w:rPr>
      </w:pPr>
      <w:r w:rsidRPr="004B0D48">
        <w:rPr>
          <w:b/>
          <w:bCs/>
          <w:sz w:val="24"/>
          <w:szCs w:val="24"/>
          <w:highlight w:val="lightGray"/>
          <w:u w:val="single"/>
        </w:rPr>
        <w:lastRenderedPageBreak/>
        <w:t>Pricing contact info (see memo for more information)</w:t>
      </w:r>
    </w:p>
    <w:p w14:paraId="40AC5A16" w14:textId="0F30EEE4" w:rsidR="00393149" w:rsidRPr="00393149" w:rsidRDefault="00393149" w:rsidP="004B0D48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</w:pPr>
      <w:r w:rsidRPr="00393149">
        <w:t>Procedures: Contact </w:t>
      </w:r>
      <w:hyperlink r:id="rId7" w:tgtFrame="_top" w:history="1">
        <w:r w:rsidRPr="00393149">
          <w:t>Julie Alliman</w:t>
        </w:r>
      </w:hyperlink>
      <w:r w:rsidR="00993D5B">
        <w:t xml:space="preserve"> (</w:t>
      </w:r>
      <w:hyperlink r:id="rId8" w:history="1">
        <w:r w:rsidR="00993D5B" w:rsidRPr="00581AD8">
          <w:rPr>
            <w:rStyle w:val="Hyperlink"/>
            <w:rFonts w:ascii="Times New Roman" w:hAnsi="Times New Roman" w:cs="Times New Roman"/>
            <w:sz w:val="24"/>
            <w:szCs w:val="24"/>
          </w:rPr>
          <w:t>jalliman@salud.unm.edu</w:t>
        </w:r>
      </w:hyperlink>
      <w:r w:rsidR="00993D5B">
        <w:rPr>
          <w:rFonts w:ascii="Times New Roman" w:hAnsi="Times New Roman" w:cs="Times New Roman"/>
          <w:sz w:val="24"/>
          <w:szCs w:val="24"/>
        </w:rPr>
        <w:t>)</w:t>
      </w:r>
      <w:r w:rsidRPr="00393149">
        <w:t> or </w:t>
      </w:r>
      <w:hyperlink r:id="rId9" w:tgtFrame="_top" w:history="1">
        <w:r w:rsidRPr="00393149">
          <w:t>Bonnie White</w:t>
        </w:r>
      </w:hyperlink>
      <w:r w:rsidR="00993D5B">
        <w:t xml:space="preserve"> (</w:t>
      </w:r>
      <w:hyperlink r:id="rId10" w:history="1">
        <w:r w:rsidR="00993D5B" w:rsidRPr="008D72BF">
          <w:rPr>
            <w:rStyle w:val="Hyperlink"/>
            <w:rFonts w:ascii="Times New Roman" w:hAnsi="Times New Roman" w:cs="Times New Roman"/>
            <w:sz w:val="24"/>
            <w:szCs w:val="24"/>
          </w:rPr>
          <w:t>bwhite@salud.unm.edu</w:t>
        </w:r>
      </w:hyperlink>
      <w:r w:rsidR="00993D5B">
        <w:rPr>
          <w:rStyle w:val="Hyperlink"/>
          <w:rFonts w:ascii="Times New Roman" w:hAnsi="Times New Roman" w:cs="Times New Roman"/>
          <w:sz w:val="24"/>
          <w:szCs w:val="24"/>
        </w:rPr>
        <w:t>)</w:t>
      </w:r>
    </w:p>
    <w:p w14:paraId="2F08E47F" w14:textId="42B14A9A" w:rsidR="00393149" w:rsidRPr="00393149" w:rsidRDefault="00393149" w:rsidP="004B0D48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</w:pPr>
      <w:r w:rsidRPr="00393149">
        <w:t>Professional fees &amp; CPT codes: contact the director of the unit/department in which the procedures will be performed to get the correct CPT code and professional fees associated with the procedure</w:t>
      </w:r>
    </w:p>
    <w:p w14:paraId="0332A233" w14:textId="783F82EA" w:rsidR="00393149" w:rsidRPr="00393149" w:rsidRDefault="00393149" w:rsidP="004B0D48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</w:pPr>
      <w:r w:rsidRPr="00393149">
        <w:t xml:space="preserve">Wilda McDonough at </w:t>
      </w:r>
      <w:proofErr w:type="spellStart"/>
      <w:r w:rsidRPr="00393149">
        <w:t>Tricore</w:t>
      </w:r>
      <w:proofErr w:type="spellEnd"/>
      <w:r w:rsidRPr="00393149">
        <w:t xml:space="preserve"> does CPT codes for labs for the referral billing/guarantor numbers.</w:t>
      </w:r>
    </w:p>
    <w:p w14:paraId="48852BA2" w14:textId="3D9F2EB8" w:rsidR="00393149" w:rsidRPr="00393149" w:rsidRDefault="00393149" w:rsidP="00393149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eastAsiaTheme="minorHAnsi" w:hAnsiTheme="minorHAnsi" w:cstheme="minorBidi"/>
          <w:sz w:val="22"/>
          <w:szCs w:val="22"/>
        </w:rPr>
      </w:pPr>
      <w:r w:rsidRPr="00393149">
        <w:rPr>
          <w:rFonts w:asciiTheme="minorHAnsi" w:eastAsiaTheme="minorHAnsi" w:hAnsiTheme="minorHAnsi" w:cstheme="minorBidi"/>
          <w:b/>
          <w:bCs/>
          <w:sz w:val="22"/>
          <w:szCs w:val="22"/>
        </w:rPr>
        <w:t>For more information on clinical trials</w:t>
      </w:r>
      <w:r w:rsidR="004B0D48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services at UNM:</w:t>
      </w:r>
      <w:r w:rsidRPr="00393149">
        <w:rPr>
          <w:rFonts w:asciiTheme="minorHAnsi" w:eastAsiaTheme="minorHAnsi" w:hAnsiTheme="minorHAnsi" w:cstheme="minorBidi"/>
          <w:b/>
          <w:bCs/>
          <w:sz w:val="22"/>
          <w:szCs w:val="22"/>
        </w:rPr>
        <w:t> </w:t>
      </w:r>
      <w:hyperlink r:id="rId11" w:history="1">
        <w:r w:rsidR="004B0D48" w:rsidRPr="00E16F1E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https://hsc.unm.edu/ctsc/services/</w:t>
        </w:r>
      </w:hyperlink>
      <w:r w:rsidR="004B0D4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47C15666" w14:textId="77777777" w:rsidR="00393149" w:rsidRDefault="00393149" w:rsidP="00393149">
      <w:pPr>
        <w:spacing w:after="0"/>
      </w:pPr>
    </w:p>
    <w:sectPr w:rsidR="00393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539B9"/>
    <w:multiLevelType w:val="multilevel"/>
    <w:tmpl w:val="6C92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64200A"/>
    <w:multiLevelType w:val="hybridMultilevel"/>
    <w:tmpl w:val="D082B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3385B"/>
    <w:multiLevelType w:val="hybridMultilevel"/>
    <w:tmpl w:val="2230F8EE"/>
    <w:lvl w:ilvl="0" w:tplc="ACF00DB4">
      <w:start w:val="6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65714A7"/>
    <w:multiLevelType w:val="multilevel"/>
    <w:tmpl w:val="E1BE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49"/>
    <w:rsid w:val="00393149"/>
    <w:rsid w:val="00421539"/>
    <w:rsid w:val="004B0D48"/>
    <w:rsid w:val="006A66A8"/>
    <w:rsid w:val="00993D5B"/>
    <w:rsid w:val="00A30516"/>
    <w:rsid w:val="00DD5176"/>
    <w:rsid w:val="00EE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F98D3"/>
  <w15:chartTrackingRefBased/>
  <w15:docId w15:val="{6B38EC5E-B0EB-4672-AF28-D2915EDC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931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1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314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9314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9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3149"/>
    <w:rPr>
      <w:b/>
      <w:bCs/>
    </w:rPr>
  </w:style>
  <w:style w:type="paragraph" w:styleId="ListParagraph">
    <w:name w:val="List Paragraph"/>
    <w:basedOn w:val="Normal"/>
    <w:uiPriority w:val="34"/>
    <w:qFormat/>
    <w:rsid w:val="0039314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93D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7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lliman@salud.unm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lliman@salud.unm.edu?Subject=Clinical%20Trial%20Pric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sc.unm.edu/common/docs/guidance-docs/uh-patient-care-rates.pdf" TargetMode="External"/><Relationship Id="rId11" Type="http://schemas.openxmlformats.org/officeDocument/2006/relationships/hyperlink" Target="https://hsc.unm.edu/ctsc/services/" TargetMode="External"/><Relationship Id="rId5" Type="http://schemas.openxmlformats.org/officeDocument/2006/relationships/hyperlink" Target="https://hsc.unm.edu/research/compliance/hrpo/investigators.html" TargetMode="External"/><Relationship Id="rId10" Type="http://schemas.openxmlformats.org/officeDocument/2006/relationships/hyperlink" Target="mailto:bwhite@salud.unm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white@salud.unm.edu?Subject=Clinical%20Trial%20Pri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Bigbie</dc:creator>
  <cp:keywords/>
  <dc:description/>
  <cp:lastModifiedBy>Caitlin L Vinyard</cp:lastModifiedBy>
  <cp:revision>2</cp:revision>
  <dcterms:created xsi:type="dcterms:W3CDTF">2026-02-03T00:07:00Z</dcterms:created>
  <dcterms:modified xsi:type="dcterms:W3CDTF">2026-02-03T00:07:00Z</dcterms:modified>
</cp:coreProperties>
</file>