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6AB9" w14:textId="0DC3CA69" w:rsidR="00705D05" w:rsidRDefault="02EEF2DF" w:rsidP="596335BD">
      <w:pPr>
        <w:rPr>
          <w:rFonts w:ascii="Times New Roman" w:eastAsia="Times New Roman" w:hAnsi="Times New Roman" w:cs="Times New Roman"/>
          <w:color w:val="000000" w:themeColor="text1"/>
        </w:rPr>
      </w:pPr>
      <w:r w:rsidRPr="596335BD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Title:</w:t>
      </w:r>
      <w:r w:rsidRPr="596335B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DA1A042" w:rsidRPr="596335BD">
        <w:rPr>
          <w:rFonts w:ascii="Times New Roman" w:eastAsia="Times New Roman" w:hAnsi="Times New Roman" w:cs="Times New Roman"/>
          <w:color w:val="000000" w:themeColor="text1"/>
        </w:rPr>
        <w:t xml:space="preserve">UTILIZATION AND SAFETY OF OFF-LABEL 4F-PCC IN NON-ANTICOAGULATED PATIENTS </w:t>
      </w:r>
    </w:p>
    <w:p w14:paraId="381D9F90" w14:textId="137FC25F" w:rsidR="00705D05" w:rsidRDefault="00705D05" w:rsidP="6DF3810A">
      <w:pPr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0BA39EDE" w14:textId="0F9FB203" w:rsidR="00705D05" w:rsidRDefault="2D6881A3" w:rsidP="596335BD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596335BD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Abstract</w:t>
      </w:r>
    </w:p>
    <w:p w14:paraId="599DBA70" w14:textId="0DDFF211" w:rsidR="00705D05" w:rsidRDefault="449B7E81" w:rsidP="6DF3810A">
      <w:pPr>
        <w:rPr>
          <w:rFonts w:ascii="Times New Roman" w:eastAsia="Times New Roman" w:hAnsi="Times New Roman" w:cs="Times New Roman"/>
          <w:color w:val="000000" w:themeColor="text1"/>
        </w:rPr>
      </w:pPr>
      <w:r w:rsidRPr="6DF3810A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Introduction</w:t>
      </w:r>
      <w:r w:rsidR="02EEF2DF" w:rsidRPr="6DF3810A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:</w:t>
      </w:r>
      <w:r w:rsidR="02EEF2DF" w:rsidRPr="6DF3810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5F777D33" w14:textId="29137092" w:rsidR="00705D05" w:rsidRDefault="02EEF2DF" w:rsidP="6DF3810A">
      <w:pPr>
        <w:rPr>
          <w:rFonts w:ascii="Times New Roman" w:eastAsia="Times New Roman" w:hAnsi="Times New Roman" w:cs="Times New Roman"/>
          <w:color w:val="000000" w:themeColor="text1"/>
        </w:rPr>
      </w:pPr>
      <w:r w:rsidRPr="6DF3810A">
        <w:rPr>
          <w:rFonts w:ascii="Times New Roman" w:eastAsia="Times New Roman" w:hAnsi="Times New Roman" w:cs="Times New Roman"/>
          <w:color w:val="000000" w:themeColor="text1"/>
        </w:rPr>
        <w:t xml:space="preserve">Prothrombin complex concentrate (PCC), including four-factor concentrate (4F-PCC) which contains inactivated factors II, VII, IX, X, is used to reverse the anticoagulation effects of vitamin K antagonists (e.g. warfarin), </w:t>
      </w:r>
      <w:r w:rsidR="6B5997D6" w:rsidRPr="6DF3810A">
        <w:rPr>
          <w:rFonts w:ascii="Times New Roman" w:eastAsia="Times New Roman" w:hAnsi="Times New Roman" w:cs="Times New Roman"/>
          <w:color w:val="000000" w:themeColor="text1"/>
        </w:rPr>
        <w:t>and oral</w:t>
      </w:r>
      <w:r w:rsidRPr="6DF3810A">
        <w:rPr>
          <w:rFonts w:ascii="Times New Roman" w:eastAsia="Times New Roman" w:hAnsi="Times New Roman" w:cs="Times New Roman"/>
          <w:color w:val="000000" w:themeColor="text1"/>
        </w:rPr>
        <w:t xml:space="preserve"> Factor Xa inhibitors (e.g. apixaban, rivaroxaban), in patients with acute major bleeding or in need of urgent surgery or invasive procedure.</w:t>
      </w:r>
    </w:p>
    <w:p w14:paraId="0CDDDD3C" w14:textId="00423434" w:rsidR="00705D05" w:rsidRDefault="02EEF2DF" w:rsidP="6DF3810A">
      <w:pPr>
        <w:rPr>
          <w:rFonts w:ascii="Times New Roman" w:eastAsia="Times New Roman" w:hAnsi="Times New Roman" w:cs="Times New Roman"/>
          <w:color w:val="000000" w:themeColor="text1"/>
        </w:rPr>
      </w:pPr>
      <w:r w:rsidRPr="6DF3810A">
        <w:rPr>
          <w:rFonts w:ascii="Times New Roman" w:eastAsia="Times New Roman" w:hAnsi="Times New Roman" w:cs="Times New Roman"/>
          <w:color w:val="000000" w:themeColor="text1"/>
        </w:rPr>
        <w:t xml:space="preserve">Non-anticoagulant associated hemorrhage in liver disease, post-operative hemorrhage, intracranial hemorrhage, gastrointestinal hemorrhage, cardiothoracic surgery, and trauma are among the off-label indications for 4F-PCC use that have been evaluated in previous studies. Robust guidance to support 4F-PCC use in non-anticoagulated populations is lacking. Additionally, 4F-PCC has been associated with an increased risk of thromboembolic events when used for off-label indications. </w:t>
      </w:r>
    </w:p>
    <w:p w14:paraId="68FBD162" w14:textId="78FA7D92" w:rsidR="00705D05" w:rsidRDefault="02EEF2DF" w:rsidP="6DF3810A">
      <w:pPr>
        <w:rPr>
          <w:rFonts w:ascii="Times New Roman" w:eastAsia="Times New Roman" w:hAnsi="Times New Roman" w:cs="Times New Roman"/>
          <w:color w:val="000000" w:themeColor="text1"/>
        </w:rPr>
      </w:pPr>
      <w:r w:rsidRPr="6DF3810A">
        <w:rPr>
          <w:rFonts w:ascii="Times New Roman" w:eastAsia="Times New Roman" w:hAnsi="Times New Roman" w:cs="Times New Roman"/>
          <w:color w:val="000000" w:themeColor="text1"/>
        </w:rPr>
        <w:t>Given the potential risks and limited guidance of 4F-PCC use in non-anticoagulated patients, this study aims to evaluate and describe the utilization and safety of 4F-PCC in non-anticoagulated patients at the University of New Mexico Hospital.  </w:t>
      </w:r>
    </w:p>
    <w:p w14:paraId="5D558D56" w14:textId="1CE10DC9" w:rsidR="00705D05" w:rsidRDefault="02EEF2DF" w:rsidP="6DF3810A">
      <w:pPr>
        <w:rPr>
          <w:rFonts w:ascii="Times New Roman" w:eastAsia="Times New Roman" w:hAnsi="Times New Roman" w:cs="Times New Roman"/>
          <w:color w:val="000000" w:themeColor="text1"/>
        </w:rPr>
      </w:pPr>
      <w:r w:rsidRPr="6DF3810A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Methods:</w:t>
      </w:r>
    </w:p>
    <w:p w14:paraId="6774C061" w14:textId="7B2C8D23" w:rsidR="00705D05" w:rsidRDefault="02EEF2DF" w:rsidP="319B1F9D">
      <w:pPr>
        <w:rPr>
          <w:rFonts w:ascii="Times New Roman" w:eastAsia="Times New Roman" w:hAnsi="Times New Roman" w:cs="Times New Roman"/>
          <w:color w:val="000000" w:themeColor="text1"/>
        </w:rPr>
      </w:pPr>
      <w:r w:rsidRPr="319B1F9D">
        <w:rPr>
          <w:rFonts w:ascii="Times New Roman" w:eastAsia="Times New Roman" w:hAnsi="Times New Roman" w:cs="Times New Roman"/>
          <w:color w:val="000000" w:themeColor="text1"/>
        </w:rPr>
        <w:t>This retrospective, single-center study chart review at the University of New Mexico Hospital evaluate</w:t>
      </w:r>
      <w:r w:rsidR="5C2C3FE7" w:rsidRPr="319B1F9D">
        <w:rPr>
          <w:rFonts w:ascii="Times New Roman" w:eastAsia="Times New Roman" w:hAnsi="Times New Roman" w:cs="Times New Roman"/>
          <w:color w:val="000000" w:themeColor="text1"/>
        </w:rPr>
        <w:t>d</w:t>
      </w:r>
      <w:r w:rsidRPr="319B1F9D">
        <w:rPr>
          <w:rFonts w:ascii="Times New Roman" w:eastAsia="Times New Roman" w:hAnsi="Times New Roman" w:cs="Times New Roman"/>
          <w:color w:val="000000" w:themeColor="text1"/>
        </w:rPr>
        <w:t xml:space="preserve"> non-anticoagulated patients ≥18 years of age who had at least one dose of 4F-PCC administered between January 1, </w:t>
      </w:r>
      <w:proofErr w:type="gramStart"/>
      <w:r w:rsidRPr="319B1F9D">
        <w:rPr>
          <w:rFonts w:ascii="Times New Roman" w:eastAsia="Times New Roman" w:hAnsi="Times New Roman" w:cs="Times New Roman"/>
          <w:color w:val="000000" w:themeColor="text1"/>
        </w:rPr>
        <w:t>2017</w:t>
      </w:r>
      <w:proofErr w:type="gramEnd"/>
      <w:r w:rsidRPr="319B1F9D">
        <w:rPr>
          <w:rFonts w:ascii="Times New Roman" w:eastAsia="Times New Roman" w:hAnsi="Times New Roman" w:cs="Times New Roman"/>
          <w:color w:val="000000" w:themeColor="text1"/>
        </w:rPr>
        <w:t xml:space="preserve"> and September 30, 2022.  Each medical record encounter w</w:t>
      </w:r>
      <w:r w:rsidR="4BE3E1A6" w:rsidRPr="319B1F9D">
        <w:rPr>
          <w:rFonts w:ascii="Times New Roman" w:eastAsia="Times New Roman" w:hAnsi="Times New Roman" w:cs="Times New Roman"/>
          <w:color w:val="000000" w:themeColor="text1"/>
        </w:rPr>
        <w:t>as</w:t>
      </w:r>
      <w:r w:rsidRPr="319B1F9D">
        <w:rPr>
          <w:rFonts w:ascii="Times New Roman" w:eastAsia="Times New Roman" w:hAnsi="Times New Roman" w:cs="Times New Roman"/>
          <w:color w:val="000000" w:themeColor="text1"/>
        </w:rPr>
        <w:t xml:space="preserve"> reviewed for demographic and clinical variables, as well as the indication for 4F-PCC. Primary efficacy outcomes include</w:t>
      </w:r>
      <w:r w:rsidR="6292D64B" w:rsidRPr="319B1F9D">
        <w:rPr>
          <w:rFonts w:ascii="Times New Roman" w:eastAsia="Times New Roman" w:hAnsi="Times New Roman" w:cs="Times New Roman"/>
          <w:color w:val="000000" w:themeColor="text1"/>
        </w:rPr>
        <w:t>d</w:t>
      </w:r>
      <w:r w:rsidRPr="319B1F9D">
        <w:rPr>
          <w:rFonts w:ascii="Times New Roman" w:eastAsia="Times New Roman" w:hAnsi="Times New Roman" w:cs="Times New Roman"/>
          <w:color w:val="000000" w:themeColor="text1"/>
        </w:rPr>
        <w:t xml:space="preserve"> the number of patients without administration of subsequent blood product transfusions or hemostatic agents, in addition to an assessment of coagulopathy parameters, such as </w:t>
      </w:r>
      <w:r w:rsidR="1E4BD8A3" w:rsidRPr="319B1F9D">
        <w:rPr>
          <w:rFonts w:ascii="Times New Roman" w:eastAsia="Times New Roman" w:hAnsi="Times New Roman" w:cs="Times New Roman"/>
          <w:color w:val="000000" w:themeColor="text1"/>
        </w:rPr>
        <w:t xml:space="preserve">clotting time using </w:t>
      </w:r>
      <w:r w:rsidRPr="319B1F9D">
        <w:rPr>
          <w:rFonts w:ascii="Times New Roman" w:eastAsia="Times New Roman" w:hAnsi="Times New Roman" w:cs="Times New Roman"/>
          <w:color w:val="000000" w:themeColor="text1"/>
        </w:rPr>
        <w:t xml:space="preserve">rotational </w:t>
      </w:r>
      <w:proofErr w:type="spellStart"/>
      <w:r w:rsidR="4A9D5AFA" w:rsidRPr="319B1F9D">
        <w:rPr>
          <w:rFonts w:ascii="Times New Roman" w:eastAsia="Times New Roman" w:hAnsi="Times New Roman" w:cs="Times New Roman"/>
          <w:color w:val="000000" w:themeColor="text1"/>
        </w:rPr>
        <w:t>thromboelastography</w:t>
      </w:r>
      <w:proofErr w:type="spellEnd"/>
      <w:r w:rsidR="36E0DED1" w:rsidRPr="319B1F9D">
        <w:rPr>
          <w:rFonts w:ascii="Times New Roman" w:eastAsia="Times New Roman" w:hAnsi="Times New Roman" w:cs="Times New Roman"/>
          <w:color w:val="000000" w:themeColor="text1"/>
        </w:rPr>
        <w:t>.</w:t>
      </w:r>
      <w:r w:rsidRPr="319B1F9D">
        <w:rPr>
          <w:rFonts w:ascii="Times New Roman" w:eastAsia="Times New Roman" w:hAnsi="Times New Roman" w:cs="Times New Roman"/>
          <w:color w:val="000000" w:themeColor="text1"/>
        </w:rPr>
        <w:t xml:space="preserve"> Sub-analysis of each 4F-PCC indication also </w:t>
      </w:r>
      <w:r w:rsidR="76DFBEA2" w:rsidRPr="319B1F9D">
        <w:rPr>
          <w:rFonts w:ascii="Times New Roman" w:eastAsia="Times New Roman" w:hAnsi="Times New Roman" w:cs="Times New Roman"/>
          <w:color w:val="000000" w:themeColor="text1"/>
        </w:rPr>
        <w:t>occurred</w:t>
      </w:r>
      <w:r w:rsidR="7CD9CD4E" w:rsidRPr="319B1F9D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319B1F9D">
        <w:rPr>
          <w:rFonts w:ascii="Times New Roman" w:eastAsia="Times New Roman" w:hAnsi="Times New Roman" w:cs="Times New Roman"/>
          <w:color w:val="000000" w:themeColor="text1"/>
        </w:rPr>
        <w:t>The primary safety objective assess</w:t>
      </w:r>
      <w:r w:rsidR="69C97DAF" w:rsidRPr="319B1F9D">
        <w:rPr>
          <w:rFonts w:ascii="Times New Roman" w:eastAsia="Times New Roman" w:hAnsi="Times New Roman" w:cs="Times New Roman"/>
          <w:color w:val="000000" w:themeColor="text1"/>
        </w:rPr>
        <w:t>ed</w:t>
      </w:r>
      <w:r w:rsidRPr="319B1F9D">
        <w:rPr>
          <w:rFonts w:ascii="Times New Roman" w:eastAsia="Times New Roman" w:hAnsi="Times New Roman" w:cs="Times New Roman"/>
          <w:color w:val="000000" w:themeColor="text1"/>
        </w:rPr>
        <w:t xml:space="preserve"> thrombotic events within 30 days post-4F-PCC administration, and secondary safety objectives include</w:t>
      </w:r>
      <w:r w:rsidR="2E4504B2" w:rsidRPr="319B1F9D">
        <w:rPr>
          <w:rFonts w:ascii="Times New Roman" w:eastAsia="Times New Roman" w:hAnsi="Times New Roman" w:cs="Times New Roman"/>
          <w:color w:val="000000" w:themeColor="text1"/>
        </w:rPr>
        <w:t>d</w:t>
      </w:r>
      <w:r w:rsidRPr="319B1F9D">
        <w:rPr>
          <w:rFonts w:ascii="Times New Roman" w:eastAsia="Times New Roman" w:hAnsi="Times New Roman" w:cs="Times New Roman"/>
          <w:color w:val="000000" w:themeColor="text1"/>
        </w:rPr>
        <w:t xml:space="preserve"> the length of hospital stay and mortality. Outcomes w</w:t>
      </w:r>
      <w:r w:rsidR="33631A65" w:rsidRPr="319B1F9D">
        <w:rPr>
          <w:rFonts w:ascii="Times New Roman" w:eastAsia="Times New Roman" w:hAnsi="Times New Roman" w:cs="Times New Roman"/>
          <w:color w:val="000000" w:themeColor="text1"/>
        </w:rPr>
        <w:t>er</w:t>
      </w:r>
      <w:r w:rsidRPr="319B1F9D">
        <w:rPr>
          <w:rFonts w:ascii="Times New Roman" w:eastAsia="Times New Roman" w:hAnsi="Times New Roman" w:cs="Times New Roman"/>
          <w:color w:val="000000" w:themeColor="text1"/>
        </w:rPr>
        <w:t xml:space="preserve">e analyzed using descriptive statistics. Data </w:t>
      </w:r>
      <w:r w:rsidR="7C14D302" w:rsidRPr="319B1F9D">
        <w:rPr>
          <w:rFonts w:ascii="Times New Roman" w:eastAsia="Times New Roman" w:hAnsi="Times New Roman" w:cs="Times New Roman"/>
          <w:color w:val="000000" w:themeColor="text1"/>
        </w:rPr>
        <w:t>is</w:t>
      </w:r>
      <w:r w:rsidRPr="319B1F9D">
        <w:rPr>
          <w:rFonts w:ascii="Times New Roman" w:eastAsia="Times New Roman" w:hAnsi="Times New Roman" w:cs="Times New Roman"/>
          <w:color w:val="000000" w:themeColor="text1"/>
        </w:rPr>
        <w:t xml:space="preserve"> reported as percentages and means with standard deviation (or median and IQR for non-normal distribution).</w:t>
      </w:r>
    </w:p>
    <w:p w14:paraId="290CBE66" w14:textId="3039A45E" w:rsidR="7BE58091" w:rsidRDefault="7BE58091" w:rsidP="596335BD">
      <w:pPr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596335BD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Results:</w:t>
      </w:r>
      <w:r w:rsidR="05F10470" w:rsidRPr="596335B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0748C">
        <w:rPr>
          <w:rFonts w:ascii="Times New Roman" w:eastAsia="Times New Roman" w:hAnsi="Times New Roman" w:cs="Times New Roman"/>
          <w:color w:val="000000" w:themeColor="text1"/>
        </w:rPr>
        <w:t>In progress</w:t>
      </w:r>
      <w:r w:rsidR="53B26D6C" w:rsidRPr="596335BD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2C078E63" w14:textId="1455E9AD" w:rsidR="00705D05" w:rsidRDefault="00705D05" w:rsidP="6DF3810A"/>
    <w:sectPr w:rsidR="00705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43416"/>
    <w:multiLevelType w:val="hybridMultilevel"/>
    <w:tmpl w:val="FE6ADF36"/>
    <w:lvl w:ilvl="0" w:tplc="D7929958">
      <w:start w:val="1"/>
      <w:numFmt w:val="decimal"/>
      <w:lvlText w:val="%1."/>
      <w:lvlJc w:val="left"/>
      <w:pPr>
        <w:ind w:left="720" w:hanging="360"/>
      </w:pPr>
    </w:lvl>
    <w:lvl w:ilvl="1" w:tplc="656C5570">
      <w:start w:val="1"/>
      <w:numFmt w:val="lowerLetter"/>
      <w:lvlText w:val="%2."/>
      <w:lvlJc w:val="left"/>
      <w:pPr>
        <w:ind w:left="1440" w:hanging="360"/>
      </w:pPr>
    </w:lvl>
    <w:lvl w:ilvl="2" w:tplc="16F4F546">
      <w:start w:val="1"/>
      <w:numFmt w:val="lowerRoman"/>
      <w:lvlText w:val="%3."/>
      <w:lvlJc w:val="right"/>
      <w:pPr>
        <w:ind w:left="2160" w:hanging="180"/>
      </w:pPr>
    </w:lvl>
    <w:lvl w:ilvl="3" w:tplc="28FE19F2">
      <w:start w:val="1"/>
      <w:numFmt w:val="decimal"/>
      <w:lvlText w:val="%4."/>
      <w:lvlJc w:val="left"/>
      <w:pPr>
        <w:ind w:left="2880" w:hanging="360"/>
      </w:pPr>
    </w:lvl>
    <w:lvl w:ilvl="4" w:tplc="B57041E2">
      <w:start w:val="1"/>
      <w:numFmt w:val="lowerLetter"/>
      <w:lvlText w:val="%5."/>
      <w:lvlJc w:val="left"/>
      <w:pPr>
        <w:ind w:left="3600" w:hanging="360"/>
      </w:pPr>
    </w:lvl>
    <w:lvl w:ilvl="5" w:tplc="CD4EA8D2">
      <w:start w:val="1"/>
      <w:numFmt w:val="lowerRoman"/>
      <w:lvlText w:val="%6."/>
      <w:lvlJc w:val="right"/>
      <w:pPr>
        <w:ind w:left="4320" w:hanging="180"/>
      </w:pPr>
    </w:lvl>
    <w:lvl w:ilvl="6" w:tplc="243C8A78">
      <w:start w:val="1"/>
      <w:numFmt w:val="decimal"/>
      <w:lvlText w:val="%7."/>
      <w:lvlJc w:val="left"/>
      <w:pPr>
        <w:ind w:left="5040" w:hanging="360"/>
      </w:pPr>
    </w:lvl>
    <w:lvl w:ilvl="7" w:tplc="B34AA12E">
      <w:start w:val="1"/>
      <w:numFmt w:val="lowerLetter"/>
      <w:lvlText w:val="%8."/>
      <w:lvlJc w:val="left"/>
      <w:pPr>
        <w:ind w:left="5760" w:hanging="360"/>
      </w:pPr>
    </w:lvl>
    <w:lvl w:ilvl="8" w:tplc="E26AC2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E5776"/>
    <w:multiLevelType w:val="hybridMultilevel"/>
    <w:tmpl w:val="91E69954"/>
    <w:lvl w:ilvl="0" w:tplc="C588A6C0">
      <w:start w:val="1"/>
      <w:numFmt w:val="decimal"/>
      <w:lvlText w:val="%1."/>
      <w:lvlJc w:val="left"/>
      <w:pPr>
        <w:ind w:left="720" w:hanging="360"/>
      </w:pPr>
    </w:lvl>
    <w:lvl w:ilvl="1" w:tplc="8E6C31F4">
      <w:start w:val="1"/>
      <w:numFmt w:val="lowerLetter"/>
      <w:lvlText w:val="%2."/>
      <w:lvlJc w:val="left"/>
      <w:pPr>
        <w:ind w:left="1440" w:hanging="360"/>
      </w:pPr>
    </w:lvl>
    <w:lvl w:ilvl="2" w:tplc="DC7C1A5A">
      <w:start w:val="1"/>
      <w:numFmt w:val="lowerRoman"/>
      <w:lvlText w:val="%3."/>
      <w:lvlJc w:val="right"/>
      <w:pPr>
        <w:ind w:left="2160" w:hanging="180"/>
      </w:pPr>
    </w:lvl>
    <w:lvl w:ilvl="3" w:tplc="7292B4EC">
      <w:start w:val="1"/>
      <w:numFmt w:val="decimal"/>
      <w:lvlText w:val="%4."/>
      <w:lvlJc w:val="left"/>
      <w:pPr>
        <w:ind w:left="2880" w:hanging="360"/>
      </w:pPr>
    </w:lvl>
    <w:lvl w:ilvl="4" w:tplc="512EA134">
      <w:start w:val="1"/>
      <w:numFmt w:val="lowerLetter"/>
      <w:lvlText w:val="%5."/>
      <w:lvlJc w:val="left"/>
      <w:pPr>
        <w:ind w:left="3600" w:hanging="360"/>
      </w:pPr>
    </w:lvl>
    <w:lvl w:ilvl="5" w:tplc="E26CDEC0">
      <w:start w:val="1"/>
      <w:numFmt w:val="lowerRoman"/>
      <w:lvlText w:val="%6."/>
      <w:lvlJc w:val="right"/>
      <w:pPr>
        <w:ind w:left="4320" w:hanging="180"/>
      </w:pPr>
    </w:lvl>
    <w:lvl w:ilvl="6" w:tplc="05529778">
      <w:start w:val="1"/>
      <w:numFmt w:val="decimal"/>
      <w:lvlText w:val="%7."/>
      <w:lvlJc w:val="left"/>
      <w:pPr>
        <w:ind w:left="5040" w:hanging="360"/>
      </w:pPr>
    </w:lvl>
    <w:lvl w:ilvl="7" w:tplc="3ECC689C">
      <w:start w:val="1"/>
      <w:numFmt w:val="lowerLetter"/>
      <w:lvlText w:val="%8."/>
      <w:lvlJc w:val="left"/>
      <w:pPr>
        <w:ind w:left="5760" w:hanging="360"/>
      </w:pPr>
    </w:lvl>
    <w:lvl w:ilvl="8" w:tplc="7F729DAA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601543">
    <w:abstractNumId w:val="0"/>
  </w:num>
  <w:num w:numId="2" w16cid:durableId="43544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A959C4"/>
    <w:rsid w:val="0029F49D"/>
    <w:rsid w:val="00705D05"/>
    <w:rsid w:val="00E0748C"/>
    <w:rsid w:val="0211FC84"/>
    <w:rsid w:val="02EEF2DF"/>
    <w:rsid w:val="05EC4CBF"/>
    <w:rsid w:val="05F10470"/>
    <w:rsid w:val="07881D20"/>
    <w:rsid w:val="0795689B"/>
    <w:rsid w:val="0A1CF31F"/>
    <w:rsid w:val="179E40EA"/>
    <w:rsid w:val="1E097D1E"/>
    <w:rsid w:val="1E4BD8A3"/>
    <w:rsid w:val="1E8185E0"/>
    <w:rsid w:val="2137BB7D"/>
    <w:rsid w:val="21895144"/>
    <w:rsid w:val="22E63E6E"/>
    <w:rsid w:val="288EFF4A"/>
    <w:rsid w:val="2D6881A3"/>
    <w:rsid w:val="2E4504B2"/>
    <w:rsid w:val="319B1F9D"/>
    <w:rsid w:val="33631A65"/>
    <w:rsid w:val="36E0DED1"/>
    <w:rsid w:val="371ED458"/>
    <w:rsid w:val="3C146116"/>
    <w:rsid w:val="3C7D1743"/>
    <w:rsid w:val="3CB75E6C"/>
    <w:rsid w:val="3CF927DC"/>
    <w:rsid w:val="3DA1A042"/>
    <w:rsid w:val="449B7E81"/>
    <w:rsid w:val="45117789"/>
    <w:rsid w:val="4A9D5AFA"/>
    <w:rsid w:val="4B6EBACE"/>
    <w:rsid w:val="4B780DED"/>
    <w:rsid w:val="4BE3E1A6"/>
    <w:rsid w:val="53B26D6C"/>
    <w:rsid w:val="542EF316"/>
    <w:rsid w:val="54B6181C"/>
    <w:rsid w:val="54C75944"/>
    <w:rsid w:val="566329A5"/>
    <w:rsid w:val="58CFE863"/>
    <w:rsid w:val="596335BD"/>
    <w:rsid w:val="59A959C4"/>
    <w:rsid w:val="5B369AC8"/>
    <w:rsid w:val="5B492711"/>
    <w:rsid w:val="5C2C3FE7"/>
    <w:rsid w:val="5D266B11"/>
    <w:rsid w:val="5E6E3B8A"/>
    <w:rsid w:val="5F367EC7"/>
    <w:rsid w:val="6292D64B"/>
    <w:rsid w:val="64DD7D0E"/>
    <w:rsid w:val="65630E7D"/>
    <w:rsid w:val="67119116"/>
    <w:rsid w:val="68151DD0"/>
    <w:rsid w:val="69C97DAF"/>
    <w:rsid w:val="6B4CBE92"/>
    <w:rsid w:val="6B5997D6"/>
    <w:rsid w:val="6BE10E4B"/>
    <w:rsid w:val="6CE88EF3"/>
    <w:rsid w:val="6DF3810A"/>
    <w:rsid w:val="72823237"/>
    <w:rsid w:val="744621A0"/>
    <w:rsid w:val="76DFBEA2"/>
    <w:rsid w:val="7905DC30"/>
    <w:rsid w:val="7A47905A"/>
    <w:rsid w:val="7B1DC2DB"/>
    <w:rsid w:val="7BE58091"/>
    <w:rsid w:val="7C14D302"/>
    <w:rsid w:val="7C3D7CF2"/>
    <w:rsid w:val="7CD9CD4E"/>
    <w:rsid w:val="7EA29003"/>
    <w:rsid w:val="7F75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959C4"/>
  <w15:chartTrackingRefBased/>
  <w15:docId w15:val="{1C19D038-4847-4E1D-AA9E-82B0BC51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4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L Sandquist</dc:creator>
  <cp:keywords/>
  <dc:description/>
  <cp:lastModifiedBy>Neff, Kimberly M.</cp:lastModifiedBy>
  <cp:revision>2</cp:revision>
  <dcterms:created xsi:type="dcterms:W3CDTF">2025-02-17T17:19:00Z</dcterms:created>
  <dcterms:modified xsi:type="dcterms:W3CDTF">2025-02-17T17:19:00Z</dcterms:modified>
</cp:coreProperties>
</file>